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92" w:rsidRDefault="00C13A92" w:rsidP="00C13A92">
      <w:pPr>
        <w:pStyle w:val="Standard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свободной производственной площадки и оборудования, территории для застройки № 1</w:t>
      </w:r>
    </w:p>
    <w:p w:rsidR="00C13A92" w:rsidRDefault="00C13A92" w:rsidP="00C13A92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570" w:type="dxa"/>
        <w:tblInd w:w="-10" w:type="dxa"/>
        <w:tblLayout w:type="fixed"/>
        <w:tblLook w:val="04A0"/>
      </w:tblPr>
      <w:tblGrid>
        <w:gridCol w:w="4785"/>
        <w:gridCol w:w="4785"/>
      </w:tblGrid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Муниципальный район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Перелюбский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Земельный участок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64:24:190812:269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земли населенных пунктов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предпринимательство</w:t>
            </w:r>
          </w:p>
        </w:tc>
      </w:tr>
      <w:tr w:rsidR="00C13A92" w:rsidTr="00C13A92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Основные сведения о площадке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государственная собственность, которая не разграничена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Почтовый адрес, телефон, адрес электронной почты, адрес интернет-сайта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413750, Российская Федерация, Саратовская область, Перелюбский район, с. Перелюб, ул. Ленина, д. 96</w:t>
            </w:r>
            <w:proofErr w:type="gramEnd"/>
          </w:p>
          <w:p w:rsidR="00C13A92" w:rsidRDefault="00C13A92">
            <w:pPr>
              <w:pStyle w:val="Standard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тел.: 8 (845-75) 3-13-3, 2-13-41,                                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: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perelyb_admin@mail.ru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Первый заместитель главы администрации Перелюбского муниципального района – Степанов Александр Иванович</w:t>
            </w:r>
          </w:p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Начальник отдела земельно-имущественных отношений –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Солдатенко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Марина Александровна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Телефон, 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тел.: 8 (845-75) 2-13-41, 8 (845-75) 2-13-83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Саратовская область, Перелюбский район, Перелюбское муниципальное образование, с. Перелюб, в 251,5м юго-восточнее жилого дома по ул. Горная, д.1А/1 и в 598,3 м. северо-западнее нежилого здания по ул. Советская, д.8 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Площадь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10000 кв.м.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Вид права на земельный участок и иные объекты недвижимости 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lastRenderedPageBreak/>
              <w:t>Форма владения землей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государственная собственность, которая не разграничена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lastRenderedPageBreak/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Имеется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ООО «Родина»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0,2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отсутствуют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Удаленность участка (в км)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9570" w:type="dxa"/>
        <w:tblInd w:w="-10" w:type="dxa"/>
        <w:tblLayout w:type="fixed"/>
        <w:tblLook w:val="04A0"/>
      </w:tblPr>
      <w:tblGrid>
        <w:gridCol w:w="4785"/>
        <w:gridCol w:w="4785"/>
      </w:tblGrid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-центра субъекта Российской 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Федерации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Саратова – 347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Самара – 178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Пугачев – 127 км.</w:t>
            </w:r>
          </w:p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по автомагистрали Саратов-Пугачев-Перелюб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ж</w:t>
            </w:r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.д. станция Новый Перелюб, 38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-речного порта, пристани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-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инфраструктуры</w:t>
      </w:r>
    </w:p>
    <w:tbl>
      <w:tblPr>
        <w:tblW w:w="9570" w:type="dxa"/>
        <w:tblInd w:w="-10" w:type="dxa"/>
        <w:tblLayout w:type="fixed"/>
        <w:tblLook w:val="04A0"/>
      </w:tblPr>
      <w:tblGrid>
        <w:gridCol w:w="4246"/>
        <w:gridCol w:w="1621"/>
        <w:gridCol w:w="1278"/>
        <w:gridCol w:w="2425"/>
      </w:tblGrid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Вид инфраструктуры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змер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Мощность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Описание</w:t>
            </w:r>
          </w:p>
        </w:tc>
      </w:tr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Газоснабжение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куб.м./час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rPr>
                <w:rFonts w:asciiTheme="minorHAnsi" w:eastAsia="Times New Roman" w:hAnsiTheme="minorHAnsi"/>
                <w:sz w:val="28"/>
                <w:szCs w:val="28"/>
              </w:rPr>
            </w:pPr>
            <w:r>
              <w:rPr>
                <w:rFonts w:asciiTheme="minorHAnsi" w:eastAsia="Times New Roman" w:hAnsiTheme="minorHAnsi"/>
                <w:sz w:val="28"/>
                <w:szCs w:val="28"/>
              </w:rPr>
              <w:t>-</w:t>
            </w:r>
          </w:p>
        </w:tc>
      </w:tr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Отопление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Гкал/час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-</w:t>
            </w:r>
          </w:p>
        </w:tc>
      </w:tr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Пар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Бар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-</w:t>
            </w:r>
          </w:p>
        </w:tc>
      </w:tr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Электроэнергия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Водоснабжение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rPr>
                <w:rFonts w:asciiTheme="minorHAnsi" w:eastAsia="Times New Roman" w:hAnsiTheme="minorHAnsi"/>
                <w:sz w:val="28"/>
                <w:szCs w:val="28"/>
              </w:rPr>
            </w:pPr>
            <w:r>
              <w:rPr>
                <w:rFonts w:asciiTheme="minorHAnsi" w:eastAsia="Times New Roman" w:hAnsiTheme="minorHAnsi"/>
                <w:sz w:val="28"/>
                <w:szCs w:val="28"/>
              </w:rPr>
              <w:t>-</w:t>
            </w:r>
          </w:p>
        </w:tc>
      </w:tr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Канализация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   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-</w:t>
            </w:r>
          </w:p>
        </w:tc>
      </w:tr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Очистные сооружения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   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rPr>
                <w:rFonts w:asciiTheme="minorHAnsi" w:eastAsia="Times New Roman" w:hAnsiTheme="minorHAnsi"/>
                <w:sz w:val="28"/>
                <w:szCs w:val="28"/>
              </w:rPr>
            </w:pPr>
            <w:r>
              <w:rPr>
                <w:rFonts w:asciiTheme="minorHAnsi" w:eastAsia="Times New Roman" w:hAnsiTheme="minorHAnsi"/>
                <w:sz w:val="28"/>
                <w:szCs w:val="28"/>
              </w:rPr>
              <w:t>-</w:t>
            </w:r>
          </w:p>
        </w:tc>
      </w:tr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Котельные установки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36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-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параметры зданий и сооружений, расположенных на площадке</w:t>
      </w:r>
    </w:p>
    <w:tbl>
      <w:tblPr>
        <w:tblW w:w="9570" w:type="dxa"/>
        <w:tblInd w:w="-10" w:type="dxa"/>
        <w:tblLayout w:type="fixed"/>
        <w:tblLook w:val="04A0"/>
      </w:tblPr>
      <w:tblGrid>
        <w:gridCol w:w="1689"/>
        <w:gridCol w:w="1209"/>
        <w:gridCol w:w="1304"/>
        <w:gridCol w:w="987"/>
        <w:gridCol w:w="1816"/>
        <w:gridCol w:w="1026"/>
        <w:gridCol w:w="1539"/>
      </w:tblGrid>
      <w:tr w:rsidR="00C13A92" w:rsidTr="00C13A92"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lastRenderedPageBreak/>
              <w:t>Наименование здания, сооружения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Площадь, 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.кв.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Этажность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Высота этажа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Строительный материал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Износ,</w:t>
            </w:r>
          </w:p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%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Возможность расширения</w:t>
            </w:r>
          </w:p>
        </w:tc>
      </w:tr>
      <w:tr w:rsidR="00C13A92" w:rsidTr="00C13A92"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</w:tr>
    </w:tbl>
    <w:p w:rsidR="00C13A92" w:rsidRDefault="00C13A92" w:rsidP="00C13A92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13A92" w:rsidRDefault="00C13A92" w:rsidP="00C13A92">
      <w:pPr>
        <w:pStyle w:val="Standard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Дополнительная информация о земельном участке</w:t>
      </w:r>
      <w:r>
        <w:rPr>
          <w:rFonts w:ascii="Times New Roman" w:hAnsi="Times New Roman" w:cs="Times New Roman"/>
          <w:sz w:val="28"/>
          <w:szCs w:val="28"/>
        </w:rPr>
        <w:t xml:space="preserve">: Вышеуказанный земельный участок относительно ровный, многоугольной формы, незастроенный, с малоценной растительностью, транспортная доступность хорошая,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водоохранную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зону не входит, водной эрозии не подвержен, лесные насаждения отсутствуют.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13A92" w:rsidRDefault="00C13A92" w:rsidP="00C13A92">
      <w:pPr>
        <w:pStyle w:val="Standard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Предложение по использования площадки: </w:t>
      </w:r>
      <w:r>
        <w:rPr>
          <w:rFonts w:ascii="Times New Roman" w:hAnsi="Times New Roman" w:cs="Times New Roman"/>
          <w:kern w:val="0"/>
          <w:sz w:val="28"/>
          <w:szCs w:val="28"/>
          <w:shd w:val="clear" w:color="auto" w:fill="FFFFFF"/>
          <w:lang w:bidi="ar-SA"/>
        </w:rPr>
        <w:t xml:space="preserve">Для строительства предпринимательской деятельности. </w:t>
      </w:r>
    </w:p>
    <w:p w:rsidR="000E31BA" w:rsidRDefault="000E31BA"/>
    <w:sectPr w:rsidR="000E31BA" w:rsidSect="000E3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13A92"/>
    <w:rsid w:val="000E31BA"/>
    <w:rsid w:val="00C13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C13A92"/>
    <w:pPr>
      <w:widowControl w:val="0"/>
      <w:suppressAutoHyphens/>
      <w:spacing w:after="0" w:line="240" w:lineRule="auto"/>
    </w:pPr>
    <w:rPr>
      <w:rFonts w:ascii="Liberation Serif" w:eastAsia="Segoe UI" w:hAnsi="Liberation Serif" w:cs="Tahoma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</dc:creator>
  <cp:keywords/>
  <dc:description/>
  <cp:lastModifiedBy>Алия</cp:lastModifiedBy>
  <cp:revision>2</cp:revision>
  <dcterms:created xsi:type="dcterms:W3CDTF">2022-12-12T06:13:00Z</dcterms:created>
  <dcterms:modified xsi:type="dcterms:W3CDTF">2022-12-12T06:13:00Z</dcterms:modified>
</cp:coreProperties>
</file>